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</w:pPr>
      <w:bookmarkStart w:id="0" w:name="_GoBack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                       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ΠΡΟΓΡΑΜΜΑ ΔΡΑ</w:t>
      </w:r>
      <w:r w:rsidR="00131F57"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ΣΗΣ 2023 ΤΟΥ ΣΩΜΑΤΕΙΟΥ « ΘΗΣΕΑΣ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 xml:space="preserve">» </w:t>
      </w:r>
    </w:p>
    <w:p w:rsidR="00427341" w:rsidRPr="007E43E1" w:rsidRDefault="00427341" w:rsidP="00427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 xml:space="preserve"> ΤΟ</w:t>
      </w:r>
      <w:r w:rsidR="0016193D"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Υ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 xml:space="preserve"> ΔΗΜΟ</w:t>
      </w:r>
      <w:r w:rsidR="0016193D"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Υ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 xml:space="preserve"> ΚΑΛΛΙΘΕΑΣ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br/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</w:pPr>
      <w:proofErr w:type="spellStart"/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Eισαγωγή</w:t>
      </w:r>
      <w:proofErr w:type="spellEnd"/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br/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Ο Δήμος Καλλιθέας δείχνει διαχρονικά ιδιαίτερη ευαισθησία στην κοινωνική υποστήριξη των πολιτών , και ιδιαίτερα των ευαίσθητων και ευάλωτων ομάδων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πληθυσμού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και για το λόγο αυτό  έχει δημιουργήσει ένα ευρύτατο κοινω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νικό δίκτυο δομών υποστήριξης.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Ανάμεσα σε αυτές τις δομές ,περιλαμβάνονται προγράμματα υποστήριξης  των νέων και των οικογενειών τους, κα έτσι λειτουργεί το Συμβουλευτικό Κέντρο Οικογένε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ιας, το Κέντρο Πρόληψης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Εξαρτήσεων « ΣΤΑΘΜΟΣ » και το Σωματείο « ΘΗΣΕΑΣ ».  Η εστίαση στην αντιμετώπιση της εξάρτησης , η οποίας αγγίζει τους νέους και τις οικογένειές τους , είναι από τους σημαντικότερους στόχους . Η εξάρτηση  παραμένει ένα κυρίαρχο πρόβλημα της κοινότητας, είναι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βιοψυχοκοινωνικό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φαινόμενο και για την αντιμετώπισή του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χρειάζεται πέραν των ειδικών, η υποστήριξη και της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κοινότητας. Η αντιμετώπιση της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εξάρτησης χωρίζεται  σε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πρόληψη , θεραπεία ( φάση προετοιμασίας - θεραπευτική φάση) και κοινωνική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επανένταξη. Στην πρωτογενή πρόλ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ηψη περιλαμβάνεται η ενημέρωση-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ευαισθητοποίηση της κοινότητας και των νέων, στη θεραπεία εστιαζόμαστε στην υποστήριξη νέων που ήδη η εξά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ρτηση ( ουσίες, αλκοόλ, χάπια, ί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ντερνετ) έχει επιβαρύνει τη λειτουργικότητά τους και δημιουργεί προβλήματα στις διαπροσωπικές σχέσεις, την οικογένεια και τη κοινωνική ένταξή τους.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Ταυτότητα φορέα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br/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Το Σωματείο «ΘΗΣΕΑΣ» , λειτουργεί για πάνω από 29 χρόνια με τη στήριξ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η πάντα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του Δήμου Καλλιθέας . 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Ο "Θησέας" διοικείται από Διοικητικό Συμβούλιο, όπου συμμετέχουν στελέχη του Δήμου και άτομα που εκφράζουν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διαπαραταξιακά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 την κοινότητα του Δήμου Καλλιθέας, εκφράζοντας έτσι την ευρύτερη κοινωνική συναίνεση και υ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ποστήριξη των στόχων του "Θησέα”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. Το σωματείο έχει ως κύριο στόχο την θεραπεία των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εξαρτημένων και την υποστήριξη των οικογενειών τους. Επίσης έχει δράσεις ενημέρωσης,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ευαισθητοποίησης , δράσεις  που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απευθύνονται σε ομάδες υψηλού κινδύνου σε συν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εργασία με προγράμματα πρόληψης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και άλλους φορείς ψυχικής υγείας, που δραστηριοποιούνται στην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κοινότητα.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Από το 2016, πέραν του προγράμματος απεξάρτησης από ναρκωτικές ουσίες,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επεκτάθηκαν οι θεραπευτικές δράσεις και σε άλλες εξαρτήσεις ξεκινώντας έτσι τη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λειτουργία Συμβουλευτικού Σταθμού για το Αλκοόλ. Η εξάρτηση από το αλκοόλ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δημιουργεί εξίσου προβλήματα στο άτομο και στην οικογένειά του και είναι έντονη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πλέον και σε νεότερες ηλικίες. Επίσης έχει σημαντικές κοινωνικές επιπτώσεις και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ειδικά σε φάσεις κοινωνικής – οικονομικής κρίσ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ης, παρατηρείται επιδείνωση του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προβλήματος.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Στο πρόγραμμα απευθύνονται περιστατικά χρηστών και των οικογενειών τους, που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προέρχονται από την περιοχή της Καλλιθέας αλλά και από άλλους όμορους δήμους.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Οι υπηρεσίες του παρέχονται δωρεάν σε όλους, ανεξάρτητα εάν είναι κάτοικοι της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Καλλιθέας.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Φιλοσοφία του προγράμματος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br/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Οι βασικές θεωρητικές θέσεις που διέπουν το Πρόγραμμα είναι: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η εξάρτηση είναι ένα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πολυπαραγοντικό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φαινόμενο. Δε στοιχειοθετείται μόνο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από τη χρήση μιας ουσίας αλλά και από την επιβολή ενός συγκεκριμένου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τρόπου ζωής. Η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εξαρτησιακή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διαδικασία έχει μια πορεία στο χρόνο, περνώντας  από την δοκιμή από περιέργ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εια τις περισσότερες φορές μιας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εξαρτησιογόνου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ουσίας, στη περιστασιακή χρήση- κατάχρηση ουσιών και  καταλήγει συχνά στην εξάρτηση  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, ως μια  προβληματική λύση των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ψυχολογικών ελλείψεων και αυξημένων επιθυμιών τω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ν ατόμων, που εκλαμβάνονται σαν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ανάγκες. Με άλλα λόγια η εξάρτηση του α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τόμου πρέπει να αντιμετωπίζεται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σαν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πολυπαραγοντικό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φαινόμενο παρεμβαίνοντας σε όλες τις παραμέτρους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του που σχετίζονται με το ίδιο το άτομο, την οικογένεια αλλά και το περιβάλλον του σύστημα.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Η διαδικασία απεξάρτησης ξεκινά με την αυστηρά προσωπική απόφαση του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χρήστη και την εθελοντική προσέλευσή του στο πρόγραμμα όπου τηρείται το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ιατρικό-επαγγελματικό απόρρητο.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lastRenderedPageBreak/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Το πρόγραμμα είναι ανοικτό δηλαδή οι χρήστες δε διαμένουν στο πρόγραμμα.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Λειτουργεί σε καθημερινή βάση και δεν παρέχει φαρμακευτικές ουσίες ή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υποκατάστατα.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Ως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απεξαρτημένο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άτομο αξιολογείται εκείνο που έχει καταφέρει την πλήρη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ρήξη με τον παλαιό τρόπο ζωής (σχέσεις, διασκέδαση, χώρους, συμπεριφορές,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ανάγκες) και τη διάλυση των μύθων που τον διέπουν και τον χαρακτηρίζουν.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Ως κοινωνική ένταξη θεωρείται η διαμόρφωση ενός νέου ρόλου μέσα στη ζωή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και όχι στο περιθώριό της, εφόσον έχει κατορθώσει να δρα και να αντιδρά με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 σώμα του, το μυαλό του και τη ψυχή του.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t>Πρόγραμμα απεξάρτησης από ναρκωτικές ουσίες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br/>
        <w:t>Βασικές αρχές του προγράμματος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u w:val="single"/>
          <w:lang w:eastAsia="el-GR"/>
        </w:rPr>
        <w:br/>
      </w:r>
    </w:p>
    <w:p w:rsidR="006F0568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H συμμετοχή στο πρόγραμμα είναι εθελοντική τόσο για τους νέους που έχουν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θέματα εξάρτησης από ουσίες όσο και για τις οικογένειές τους.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 πρόγραμμα είναι ανοιχτό ,προϋποθέτει ότι υπάρχει στηρικτικό οικογενειακό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πλαίσιο, καθώς επίσης βασική προϋπόθεση για την ένταξη στο θεραπευτικό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πρόγραμμα και την συνέχιση της παρακολούθησης είναι η σταθερή αποχή από όλες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τις ουσίες καθώς και από το αλκοόλ τόσο του ίδιου του νέου όσο και της οικογένειάς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του.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Είναι σημαντικό για τα μέλη που εντάσσονται στο θεραπευτικό πρόγραμμα να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παρακολουθούν με συνέπεια τόσο οι ίδιοι όσο και οι οικογένειές τους όλες τις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θεραπευτικές διαδικασίες (ατομικά ραντεβού, ομαδική ψυχοθεραπεία,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δραματοθεραπεία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,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χοροθεραπεία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) καθώς και όλες τις υπόλοιπες δράσεις και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θεραπευτικές διαδικασίες 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Στόχος μας είναι οι νέοι παράλληλα να μπορούν να σπουδάζουν ή να δουλεύουν,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θέτοντας όμως σαν προτεραιότητα την παρακολούθηση του προγράμματος . Όσον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αφορά τους χώρους του προγράμματος προσπαθούμε να αφήνουμε </w:t>
      </w:r>
      <w:proofErr w:type="spellStart"/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απ’έξω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τόσο την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χρήση όσο και τις συμπεριφορές που έχουν να κάνουν με τη χρήση.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Μέσα στο θεραπευτικό χώρο κυριαρχεί ο αλληλοσεβασμός, η συνεργασία και 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εμπιστοσύνη με τους θεραπευτές.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Η διαδικασία της εξάρτησης είναι μία πολύχρονη διαδικασία, η οποία έχει την τάση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τα διαβρώνει τις σχέσεις ,την προσωπικότητα και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τη δημιουργικότητα του ατόμου.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Έτσι είναι κατανοητό ότι η διαδικασία της απεξάρτησης, και όχι μόνο της αποχής από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τις ουσίες, είναι μια διαδικασία η οποία θέλει χρόνο, συνεχή προσπάθεια, υπομονή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και εμπιστοσύνη στις θεραπευτικές προτάσεις.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6F0568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Τα κριτήρια εισαγωγής των χρηστών στο Πρόγραμμα είναι: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Η επιθυμία του χρήστη και η δέσμευσή του για πλήρη αποχή από τις ουσίες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Η αποδοχή των διαδικασιών και των κανόνων λειτουργίας του Προγράμματος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sym w:font="Symbol" w:char="F0A7"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Η ύπαρξη οικογενειακού περιβάλλοντος ικανού να στηρίξει την προσπάθεια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απεξάρτησης του χρήστη και να συνεργαστεί με τον χρήστη.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Εκείνο που χαρακτηρίζει και διαφοροποιεί το πρόγραμμα « ΘΗΣΕΑΣ » από τα άλλα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προγράμματα 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με τον ίδιο στόχο είναι ότι :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427341" w:rsidRPr="007E43E1" w:rsidRDefault="006F0568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Δίνει ιδιαίτερη σημασία στη θεραπεία και τη στήριξη στην οικογένεια του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εξαρτημένου, θεωρώντας το αναπόσπαστο κομμάτι της θεραπείας. Για το λόγο αυτό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λειτουργεί θεραπευτικό πρόγραμμα οικογένειας, σε διαφορετικό χώρο, σε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συνεργασία με τον ΣΑΤ (Σύλλογος αντιμετώπισης της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τοξικοεξάρτησης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), όπου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παρακολουθούνται οικογένειες που έχει ενταχθεί ή είναι να ενταχθεί το παιδί τους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στο θεραπευτικό πρόγραμμα. Ο ΣΑΤ έχει έδρα το Δήμο Καλλιθέας και μέλη γονείς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που παρακολουθούν τώρα ή στο παρελθόν τα παιδιά τους το πρόγραμμα του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«Θησέα» , και έχει στόχο μέσα από τις δράσεις του την στήριξη των γονέων και του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προγράμματος . Ο ΣΑΤ στηρίζει ενεργά το πρόγραμμα καθώς και τους γονείς , προωθεί το πρόγραμμα μέσα από δράσεις στη κοινότητα, διοργάνωση παζαριών στις γιορτές, οργανώνοντας πολιτιστικές δραστηριότητες και εξόδους για τους γονείς, ευαισθητοποιώντας συλλόγους γονέων και φορείς , συνεργαζόμενος  με συλλόγους γονέων άλλων προγραμμάτων.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β. Αξιοποιεί την θεραπευτική διάσταση της  τέχνης στην διαδικασία της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απεξάρτησης, θεωρώντας ότι η εξάρτηση είναι κυρίως πολιτισμική εκτροπή  γι’ αυτό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και έχει ιδιαίτερη εξάπλωση στο σύγχρονο πολιτισμό. Οι θεραπείες μέσω τέχνης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εφαρμόζονται σε όλη την διάρκεια της απεξάρτησης (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Drama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therapy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,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Dance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Therapy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,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Art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Therapy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) όπως και τα εργαστήρια τέχνης, οι θεατρικές παραστάσεις, και  οι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επισκέψεις σε θεατρικές παραστάσεις, εκθέσεις ζωγραφικής και φωτογραφίας.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Ο «ΘΗΣΕΑΣ» εκπόνησε και θα υλοποιήσει ένα πρόγραμμα δράσεων για το Δήμο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Καλλιθέας, για το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έτος 2023, λαμβάνοντας υπόψη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 ότι βγαίνουμε από μεγάλο διάστημα δυσκολίας στην επικοινωνία με την κοινότητα  λόγω  της πανδημίας , την ανάγκη δράσεων στους νέους , οικογένειες και φορείς που ασχολούνται με νέους. </w:t>
      </w:r>
    </w:p>
    <w:p w:rsidR="00427341" w:rsidRPr="007E43E1" w:rsidRDefault="00427341" w:rsidP="00427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427341" w:rsidRPr="007E43E1" w:rsidRDefault="00427341" w:rsidP="00427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 Οι δράσεις μας θα εστιαστούν στους  παρακάτω  κεντρικούς άξονες :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t>Α) Συνέχιση του θεραπευτικού προγράμματος απεξάρτησης από ουσίες</w:t>
      </w:r>
    </w:p>
    <w:p w:rsidR="0016193D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Επιστημονικά, η θεραπεία της απεξάρτη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σης χωρίζεται σε τρείς φάσεις: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φάση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κινητοποίησης και προετοιμασίας, θεραπευτική φάση και κοινωνική επανένταξη.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Για το 2023, προγραμματίζουμε να λειτουργήσουν και οι τρεις φάσεις του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προγράμματος όπως γίνεται όλα αυτά τα χρόνια και οι χρήστες των υπηρεσιών μας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να ενταχθούν ανάλογα με τις ανάγκες είτε σε ομάδες, είτε να ακολουθήσουν ατομικές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συνεδρίες είτε να παραπεμφθούν σε άλλα προγράμματα που τους ταιριάζουν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καλύτερα.. Ανάλογη αντιμετώπιση θα έχουν οι οικογένειές τους καθώς και τα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«σημαντικά άλλα» σε αυτούς πρόσωπα.</w:t>
      </w:r>
    </w:p>
    <w:p w:rsidR="0016193D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</w:p>
    <w:p w:rsidR="0016193D" w:rsidRPr="007E43E1" w:rsidRDefault="0016193D" w:rsidP="00161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1.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Στη φάση προετοιμασίας εντάσσονται οι χρήστες που έρχονται στο πρόγραμμα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χωρίς ακόμα να έχουν πάρει οριστική απόφαση να σταματήσουν την χρήση. Μέσα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από τις συναντήσεις τους ευαισθητοποιούνται για τα θέματα της απεξάρτησης και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ισχυροποιούν την απόφαση τους όχι μόνο να σταματήσουν την χρήση αλλά να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αλλάξουν στάση ζωής και σταδιακά περνούν στη κύρια φάση θεραπείας και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στη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συνέχεια στην επανένταξη.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16193D" w:rsidRPr="007E43E1" w:rsidRDefault="0016193D" w:rsidP="00161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2.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Όταν θα είναι έτοιμα, τα μέλη θα περάσουν στην φάση της Θεραπείας, που περιλαμβάνει την συμμετοχή τους σε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θεραπευτικές ομάδες λόγου,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δραματοθεραπείας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,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χοροθεραπείας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, εικαστικών,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φωτογραφίας,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εργοθεραπείας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, κ.α. Στη φάση της Θεραπείας απαιτείται η καθημερινή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τους προσέλευση στο πρόγραμμα και η αυστηρή τήρησ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η των ορίων του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προγράμματος.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16193D" w:rsidRPr="007E43E1" w:rsidRDefault="00427341" w:rsidP="00161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3.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Στην φάση της Επανένταξης, οι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θεραπευόμενοι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αναζητούν εργασία και έρχονται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στο πρόγραμμα τρεις φορές την εβδομάδα για να ακολουθήσουν τις ομάδες με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παίξιμο κοινωνικών ρόλων ή τις ατομικές τους συνεδρίες. Επίσης ενισχύεται 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κοινωνικοποίηση, η επαφή με την κοινότητα, η συμμετοχή σε πολιτιστικά δρώμενα, 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υπευθυνοπο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ίηση</w:t>
      </w:r>
      <w:proofErr w:type="spellEnd"/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ως άτομο και ως πολίτης.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16193D" w:rsidRPr="007E43E1" w:rsidRDefault="00427341" w:rsidP="00161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4.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Οι ομάδες οικογένειας είναι απαραίτητες για την ομαλή έκβαση της θεραπείας και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η βαρύτητα που δίνουμε σε αυτές αποτελεί και την κύρια αιτία για την υψηλή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αποτελεσματ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ικότητα τους προγράμματός μας. 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Οι ομάδες λειτουργούν  σε εβδ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ομαδιαία βάση διερευνώντας τους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ρόλους και τις σχέσεις που παρουσιάζονται σε κάθ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ε οικογένεια. Τα μέλη αυτών των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ομάδων είναι γονείς και άλλα συγγενικά πρόσωπα χ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ρηστών, τα οποία είτε είναι ήδη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στις ομάδες του ΘΗΣΕΑ είτε είναι στη διαδικασία ευαισθητοποίησης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για την ένταξη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τους σε αυτές.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427341" w:rsidRPr="007E43E1" w:rsidRDefault="0016193D" w:rsidP="001619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5.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Σημαντικό βήμα στο θεραπευτικό πρόγραμμα του « ΘΗΣΕΑ» αποτελεί η χρήση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των νέων τεχνολογιών και των δυνατοτήτων τους, στις ατομικές και ομαδικές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συνεδρίες, γεγονός που επέβαλαν τα μέτρα αντιμετώπισης της πανδημίας. Τα μέτρα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προφύλαξης από την πανδημία COVID-19, μας οδήγησε να πραγματοποιήσουμε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συναντήσεις μέσω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skype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ή </w:t>
      </w:r>
      <w:proofErr w:type="spellStart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zoom</w:t>
      </w:r>
      <w:proofErr w:type="spellEnd"/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ή άλλων μέσων, τόσο σε ατομικό όσο και σε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ομαδικό επίπεδο. Η προοπτική μας είναι να παραμείνει αυτή η δυνατότητα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υποστήριξης ως εναλλακτικός τρόπος επικοινωνίας και στη νέα χρονιά.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16193D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t>Β) Συνεχιζόμενη εκπαίδευση και έρευνα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br/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Η συνεχιζόμενη εκπαίδευση των θεραπευτών συνεχίζεται για το 2023, περιλαμβάνοντας τη δεκαπενθήμερη εποπτεία της θεραπευτικής ομάδας από εξωτερικό συνεργάτη - επόπτη, τη συμμετοχή σε εκπαιδεύσεις   σε θέματα που αποτελούν ειδικότητα του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«ΘΗΣΕΑ» όπως η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δραματοθεραπεία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και η οικογενειακή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θεραπεία.η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συμμετοχή θεραπευτών σε συνέδρια ψυχοθεραπείας ,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δραματοθεραπείας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και άλλων συνεδρίων όπου πέραν της εκπαίδευσης παρουσιάζεται η δουλειά μας στο "Θησέα".  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 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t>Γ) Δράσεις πρόληψης -ευαισθητοποίησης για τις εξαρτήσεις </w:t>
      </w:r>
    </w:p>
    <w:p w:rsidR="0016193D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t> 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Στόχος των δράσεων αυτών που απευθύνονται σε σχολεία, συλλόγους  γονέων και την ευρύτερη κοινότητα, είναι η ευαισθητοποίηση και κινητοποίηση τ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ων νέων σε θέματα εξαρτήσεων .’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Ηδη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υλοποιούμε πρόγραμμ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α παρεμβάσεων στο 10ο Γυμνάσιο,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που απευθύνεται σε νέους και εκπαιδευτικούς, μέσω βιωματικών παρεμβάσεων, αναμένεται η συνέχισή τους το 2023 σε σχολεία, Πανεπιστήμια και Δημόσιες Σχολές. 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 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t>Δ) Δράσεις δημοσιοποίησης και ενημέρωσης</w:t>
      </w:r>
    </w:p>
    <w:p w:rsidR="0016193D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</w:p>
    <w:p w:rsidR="00427341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1.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Στόχος μας είναι  να συμμετάσχουμε και φέτος σε  δραστηριότητες  που οργανώνονται από το Δήμο Καλλιθέας και τους κοινωνικούς φορείς που δραστηριοποιούνται με σκοπό την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προστασία του περιβάλλοντος ή άλλες δράσεις κοινωνικής προσφοράς. </w:t>
      </w:r>
    </w:p>
    <w:p w:rsidR="0016193D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2.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Στο πλαίσιο της ευαισθητοποίησης αλλά και  μιας ουσιαστικότερης γνώσης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όχι μόνον του φαινομένου της εξάρτησης αλλά και της διαδικασίας της απεξάρτησης,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συνεχίζουμε την έκδοση της εφημερίδας μας «ΑΠΕΞΑΡΤΗΣΗ»  με άρθρα των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μελών και των θεραπευτών του προγράμματος και με συνεντεύξεις σημαντικών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προσώπων που έρχονται σε επαφή μαζί μας μέσα από τις δραστηριότητές μας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(καλλιτέχνες, επιστήμονες, τοπικοί παράγοντες, υπεύθυνοι αθλητικών οργανισμών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κ.α.).  Επίσης σχεδιάζουμε έντυπο  ενημερωτικό υλικό που απευθύνεται σε γονείς και το ευρύτερο κοινό  και την διανομή του μέσα από ανοικτές δράσεις .</w:t>
      </w:r>
    </w:p>
    <w:p w:rsidR="0016193D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16193D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3.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Συνέχιση της ενημέρωσης  ειδικών ψυχικής υγείας καθώς και των ιερωμένων του Δήμου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Καλλιθέας για το Πρόγραμμα Απεξάρτησης από ουσίες του Σωματείου « ΘΗΣΕΑΣ »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του Δήμου Καλλιθέας, για την παραπομπή οικογενειών ή ατόμων που ζητούν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βοήθεια. Ήδη έχουν υλοποιηθεί επισκέψεις σε ιερούς ναούς, στο ΙΚΑ , καθώς σε άλλες δομές υγείας.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4 Συνέχιση της αναζήτησης χορηγιών για την προώθηση και στήριξη των σκοπών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του Σωματείου « ΘΗΣΕΑΣ » από επιχειρήσεις που δραστηριο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ποιούνται στο Δήμο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Καλλιθέας.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16193D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5.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Συμμετοχή σε συνέδρια και ημερίδες ως στοιχείο απαραίτητο για την συνεχή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ενημέρωση μας αλλά και για την παρουσίαση του έργου μας, τόσο στο επιστημονικό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όσο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και στο ευρύτερο κοινό.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16193D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6.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Διοργάνωση εκδηλώσεων ενημέρωσης στους χώρους της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Σιβιτανιδείου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Σχολής,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Χαροκοπείου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Πανεπιστημίου με σκοπό την ενημέρωση των συνεπειών της χρήσης των ν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αρκωτικών ουσιών και αλκοόλ.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427341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7.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Φιλοξενία και ενημέρωση φοιτητών του ΤΕΙ Νοσηλευτικής καθώς και τμημάτων των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ΙΕΚ ( ΑΚΜΗ ).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8. Όπως κάθε χρονιά έτσι και φέτος προγραμματίζουμε τον εορτασμό της Παγκόσμιας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Ημέρας Κατά των Ναρκωτικών, στις 26 Ιουνίου. Οι εκδηλώσεις αυτές θα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πραγματοποιηθούν σε συνεργασία με το Δήμο Καλλιθ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έας σε πλατείες αλλά και άλλους 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χώρους που θα επιλεγούν και έχουν σαν σκοπό την ε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υαισθητοποίηση των κατοίκων του 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Δήμου Καλλιθέας. </w:t>
      </w:r>
    </w:p>
    <w:p w:rsidR="0016193D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16193D" w:rsidRPr="007E43E1" w:rsidRDefault="0016193D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9.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Διοργάνωση εορταστικών παζαριών σε συνεργασία με τον ΣΑΤ, καθώς και διανομή έντυπου υλικού ,σε συναφείς με τους στόχους μας Παγκόσμιες Ημέρες όπως ήδη έγινε στη Παγκόσμια Ημέρα Ψυχικής Υγείας.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10. Σχεδιάζεται εκστρατεία ενημέρωσης , με καταχωρήσεις στα κοινωνικά δίκτυα</w:t>
      </w:r>
      <w:r w:rsidR="00427341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ενημέρωσης τα οποία κατά κύριο λόγο χρ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ησιμοποιούν οι νέοι άνθρωποι.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</w:t>
      </w:r>
      <w:r w:rsidR="0016193D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11.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Ενδυνάμωση της λειτουργίας του Δικτύου Φορέων Ψυχικής Υγείας ( Σωματείο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«ΘΗΣΕΑΣ» Πρόγραμμα Απεξάρτησης από Ουσίες , Κέντρο Υγείας Δήμου Καλλιθέας,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Συμβουλευτικό Κέντρο Οικογένειας Δήμου Καλλιθέας, Κέντρο Πρόληψης των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Εξαρτήσεων και Προαγωγής της Ψυχοκοινωνικής Υγείας των Δήμων Καλλιθέας 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Μοσχάτου – Ταύρου σε συνεργασία με τον ΟΚΑΝΑ και του Κέντρου Ημέρας Ενηλίκων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για την συνέχεια στην φροντίδα ψυχικά ασθενών που διαβιούν στην κοινότητα.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t>Ε) Πρόγραμμα λειτουργίας Συμβουλευτικού Σταθμού για το αλκοόλ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Από τον Απρίλιο του 2016 , ο Δήμος Καλλιθέας, στα πλαίσια του προγράμματος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«Θησέας» και σε χώρο των Δημοτικών Ιατρείων λειτουργεί πιλοτικό πρόγραμμα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συμβουλευτικών υπηρεσιών σε ασθενείς με πρόβλημα με το αλκοόλ και τις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οικογένειές τους 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Οι υπηρεσίες που παρέχονται σε άτομα με πρόβλημα εξάρτησης από το αλκοόλ και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τις οικογένειές τους είναι οι εξής: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Ενημέρωση για τις επιπτώσεις της χρήσης και αντιμετώπιση τους σε βιολογικό και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ψυχοκοινωνικό επίπεδο.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Ψυχολογική υποστήριξη των ασθενών και των οικογενειών τους.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Κινητοποίησή τους για διακοπή της χρήσης με στόχο την ένταξή τους στο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θεραπευτικό πρόγραμμα.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Στην παρούσα φάση παρέχονται ατομική ψυχοθεραπεία και οικογενειακή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ψυχοθεραπεία στους ασθενείς και τις οικογένειές τους.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Στόχος για το 2023 είναι η επέκταση του προγράμματος , η παροχή ομαδικής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ψυχοθεραπείας τόσο στους ασθενείς όσο και στις οικογένειές τους .</w:t>
      </w:r>
    </w:p>
    <w:p w:rsidR="0016193D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t>ΣΤ) Ανάπτυξη συνεργασιών με άλλους φορείς</w:t>
      </w:r>
      <w:r w:rsidRPr="007E43E1">
        <w:rPr>
          <w:rFonts w:ascii="Arial" w:eastAsia="Times New Roman" w:hAnsi="Arial" w:cs="Arial"/>
          <w:b/>
          <w:color w:val="1D2228"/>
          <w:sz w:val="20"/>
          <w:szCs w:val="20"/>
          <w:lang w:eastAsia="el-GR"/>
        </w:rPr>
        <w:br/>
      </w:r>
    </w:p>
    <w:p w:rsidR="006F0568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Ο «Θησέας» συμμετέχει ήδη ενεργά στο δίκτυο φορέων ψυχικής υγείας Δήμου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Καλλιθέας, και σχεδιάζεται περαιτέρω ανάπτυξη των συνεργασιών αυτών.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Επίσης ο «Θησέας» είναι σε συνεχή επικοινωνία και συνεργασία με άλλους φορείς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απεξάρτησης ( ΚΕΘΕΑ, ΑΤΡΑΠΟΣ – ΟΚΑΝΑ, 18 Άνω ) , καθώς και άλλους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κοινωνι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κούς και επιστημονικούς φορείς. </w:t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O « ΘΗΣΕΑΣ » ως μοναδικό δημοτικό πρόγραμμα απεξάρτησης παραμένει σε στενή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συνεργασία με φορείς της κοινότητας, που στόχο έχουν την βελτίωση της ποιότητας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ζωής των νέων και των οικογενειών τους και είναι αρωγός στην αντιμετώπιση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κοινωνικών προβλημάτων όπως είναι η βία, ο ρατσισμός, η ισότητα των φύλων. Είναι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>γνωστό ότι η παθητικότητα, η περιθωριοποίηση, η κοινωνική απομόνωση, η ανεργία,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αποτελούν πρόσφορο έδαφος για την εμφάνιση </w:t>
      </w:r>
      <w:proofErr w:type="spellStart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εξαρτητικών</w:t>
      </w:r>
      <w:proofErr w:type="spellEnd"/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 συμπεριφορών.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  <w:t xml:space="preserve">Καθώς η παρούσα χρονική περίοδος , που χαρακτηρίζεται από τη συσσώρευση κοινωνικών προβλημάτων λόγω της συνεχιζόμενης πανδημίας, της ενεργειακής κρίσης , της κοινωνικής αβεβαιότητας , καθιστά απαραίτητη τη συνεργασία των κοινωνικών φορέων  για την καλύτερη αντιμετώπιση των 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 xml:space="preserve">ψυχοκοινωνικών προβλημάτων ,ο 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« ΘΗΣΕΑΣ » προωθεί τη συνεργασία με άλλο</w:t>
      </w:r>
      <w:r w:rsidR="006F0568"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υς φορείς υγείας και πρόνοιας, 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t>σε ένα κλίμα αλληλοϋποστήριξης  και καλής συνεργασίας.</w:t>
      </w:r>
      <w:r w:rsidRPr="007E43E1">
        <w:rPr>
          <w:rFonts w:ascii="Arial" w:eastAsia="Times New Roman" w:hAnsi="Arial" w:cs="Arial"/>
          <w:color w:val="1D2228"/>
          <w:sz w:val="20"/>
          <w:szCs w:val="20"/>
          <w:lang w:eastAsia="el-GR"/>
        </w:rPr>
        <w:br/>
      </w:r>
    </w:p>
    <w:p w:rsidR="00427341" w:rsidRPr="007E43E1" w:rsidRDefault="00427341" w:rsidP="00427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  <w:lang w:eastAsia="el-GR"/>
        </w:rPr>
      </w:pPr>
    </w:p>
    <w:p w:rsidR="0016193D" w:rsidRPr="007E43E1" w:rsidRDefault="00427341" w:rsidP="00161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  <w:t>Η Πρόεδρος του Δ.Σ.</w:t>
      </w:r>
      <w:r w:rsidRPr="007E43E1"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  <w:br/>
        <w:t>του Σωματείου «ΘΗΣΕΑΣ»</w:t>
      </w:r>
    </w:p>
    <w:p w:rsidR="0016193D" w:rsidRPr="007E43E1" w:rsidRDefault="0016193D" w:rsidP="00161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</w:pPr>
    </w:p>
    <w:p w:rsidR="00427341" w:rsidRPr="007E43E1" w:rsidRDefault="00427341" w:rsidP="001619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</w:pPr>
      <w:r w:rsidRPr="007E43E1"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  <w:t xml:space="preserve">Άννα </w:t>
      </w:r>
      <w:proofErr w:type="spellStart"/>
      <w:r w:rsidRPr="007E43E1"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  <w:t>Γιαννακού</w:t>
      </w:r>
      <w:proofErr w:type="spellEnd"/>
      <w:r w:rsidRPr="007E43E1"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  <w:t xml:space="preserve"> – Πάσχου</w:t>
      </w:r>
      <w:r w:rsidRPr="007E43E1">
        <w:rPr>
          <w:rFonts w:ascii="Arial" w:eastAsia="Times New Roman" w:hAnsi="Arial" w:cs="Arial"/>
          <w:b/>
          <w:color w:val="1D2228"/>
          <w:sz w:val="18"/>
          <w:szCs w:val="18"/>
          <w:lang w:eastAsia="el-GR"/>
        </w:rPr>
        <w:br/>
        <w:t>Αντιδήμαρχος Πρόνοιας</w:t>
      </w:r>
    </w:p>
    <w:bookmarkEnd w:id="0"/>
    <w:p w:rsidR="006C737F" w:rsidRPr="007E43E1" w:rsidRDefault="006C737F" w:rsidP="00427341">
      <w:pPr>
        <w:jc w:val="center"/>
        <w:rPr>
          <w:rFonts w:ascii="Arial" w:hAnsi="Arial" w:cs="Arial"/>
          <w:b/>
        </w:rPr>
      </w:pPr>
    </w:p>
    <w:sectPr w:rsidR="006C737F" w:rsidRPr="007E43E1" w:rsidSect="006C73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92C"/>
    <w:multiLevelType w:val="hybridMultilevel"/>
    <w:tmpl w:val="261A0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27341"/>
    <w:rsid w:val="00131F57"/>
    <w:rsid w:val="0016193D"/>
    <w:rsid w:val="00427341"/>
    <w:rsid w:val="006C737F"/>
    <w:rsid w:val="006F0568"/>
    <w:rsid w:val="00731046"/>
    <w:rsid w:val="007E43E1"/>
    <w:rsid w:val="008F59A9"/>
    <w:rsid w:val="00A7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18AD-9DC1-4FCA-A049-A27D970F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2667</Words>
  <Characters>14404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Ελευθερία Γαβαλά</cp:lastModifiedBy>
  <cp:revision>4</cp:revision>
  <cp:lastPrinted>2022-12-13T08:31:00Z</cp:lastPrinted>
  <dcterms:created xsi:type="dcterms:W3CDTF">2022-12-13T08:22:00Z</dcterms:created>
  <dcterms:modified xsi:type="dcterms:W3CDTF">2023-01-24T10:34:00Z</dcterms:modified>
</cp:coreProperties>
</file>